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0912CD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C9191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3B7F7A">
        <w:rPr>
          <w:bCs/>
          <w:noProof w:val="0"/>
          <w:sz w:val="24"/>
          <w:szCs w:val="24"/>
        </w:rPr>
        <w:t>01007</w:t>
      </w:r>
    </w:p>
    <w:p w14:paraId="11776FA6" w14:textId="184829EF" w:rsidR="00A209D6" w:rsidRPr="00465587" w:rsidRDefault="00C91910" w:rsidP="00A209D6">
      <w:pPr>
        <w:pStyle w:val="Header"/>
        <w:tabs>
          <w:tab w:val="right" w:pos="9639"/>
        </w:tabs>
        <w:rPr>
          <w:rFonts w:eastAsia="SimSun"/>
          <w:bCs/>
          <w:sz w:val="24"/>
          <w:szCs w:val="24"/>
          <w:lang w:eastAsia="zh-CN"/>
        </w:rPr>
      </w:pPr>
      <w:r>
        <w:rPr>
          <w:rFonts w:eastAsia="SimSun"/>
          <w:bCs/>
          <w:sz w:val="24"/>
          <w:szCs w:val="24"/>
          <w:lang w:eastAsia="zh-CN"/>
        </w:rPr>
        <w:t>Elbonia</w:t>
      </w:r>
      <w:r w:rsidR="003B7F7A">
        <w:rPr>
          <w:rFonts w:eastAsia="SimSun"/>
          <w:bCs/>
          <w:sz w:val="24"/>
          <w:szCs w:val="24"/>
          <w:lang w:eastAsia="zh-CN"/>
        </w:rPr>
        <w:t>, Online</w:t>
      </w:r>
      <w:r w:rsidR="006574C0" w:rsidRPr="006574C0">
        <w:rPr>
          <w:rFonts w:eastAsia="SimSun"/>
          <w:bCs/>
          <w:sz w:val="24"/>
          <w:szCs w:val="24"/>
          <w:lang w:eastAsia="zh-CN"/>
        </w:rPr>
        <w:t xml:space="preserve">, </w:t>
      </w:r>
      <w:r w:rsidR="009376CD">
        <w:rPr>
          <w:rFonts w:eastAsia="SimSun"/>
          <w:bCs/>
          <w:sz w:val="24"/>
          <w:szCs w:val="24"/>
          <w:lang w:eastAsia="zh-CN"/>
        </w:rPr>
        <w:t>24</w:t>
      </w:r>
      <w:r w:rsidRPr="003B7F7A">
        <w:rPr>
          <w:rFonts w:eastAsia="SimSun"/>
          <w:bCs/>
          <w:sz w:val="24"/>
          <w:szCs w:val="24"/>
          <w:vertAlign w:val="superscript"/>
          <w:lang w:eastAsia="zh-CN"/>
        </w:rPr>
        <w:t>th</w:t>
      </w:r>
      <w:r w:rsidR="006574C0" w:rsidRPr="006574C0">
        <w:rPr>
          <w:rFonts w:eastAsia="SimSun"/>
          <w:bCs/>
          <w:sz w:val="24"/>
          <w:szCs w:val="24"/>
          <w:lang w:eastAsia="zh-CN"/>
        </w:rPr>
        <w:t xml:space="preserve"> </w:t>
      </w:r>
      <w:r w:rsidR="008F3DCD">
        <w:rPr>
          <w:rFonts w:eastAsia="SimSun"/>
          <w:bCs/>
          <w:sz w:val="24"/>
          <w:szCs w:val="24"/>
          <w:lang w:eastAsia="zh-CN"/>
        </w:rPr>
        <w:t>February</w:t>
      </w:r>
      <w:r>
        <w:rPr>
          <w:rFonts w:eastAsia="SimSun"/>
          <w:bCs/>
          <w:sz w:val="24"/>
          <w:szCs w:val="24"/>
          <w:lang w:eastAsia="zh-CN"/>
        </w:rPr>
        <w:t xml:space="preserve"> – 6</w:t>
      </w:r>
      <w:r w:rsidRPr="003B7F7A">
        <w:rPr>
          <w:rFonts w:eastAsia="SimSun"/>
          <w:bCs/>
          <w:sz w:val="24"/>
          <w:szCs w:val="24"/>
          <w:vertAlign w:val="superscript"/>
          <w:lang w:eastAsia="zh-CN"/>
        </w:rPr>
        <w:t>th</w:t>
      </w:r>
      <w:r>
        <w:rPr>
          <w:rFonts w:eastAsia="SimSun"/>
          <w:bCs/>
          <w:sz w:val="24"/>
          <w:szCs w:val="24"/>
          <w:lang w:eastAsia="zh-CN"/>
        </w:rPr>
        <w:t xml:space="preserve"> of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7D7C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49D0">
        <w:rPr>
          <w:rFonts w:cs="Arial"/>
          <w:b/>
          <w:bCs/>
          <w:sz w:val="24"/>
          <w:lang w:eastAsia="ja-JP"/>
        </w:rPr>
        <w:t>6.9.4</w:t>
      </w:r>
      <w:r w:rsidR="003B7F7A">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1D1B7E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2474">
        <w:rPr>
          <w:rFonts w:ascii="Arial" w:hAnsi="Arial" w:cs="Arial"/>
          <w:b/>
          <w:bCs/>
          <w:sz w:val="24"/>
        </w:rPr>
        <w:t xml:space="preserve">On </w:t>
      </w:r>
      <w:r w:rsidR="005617E6">
        <w:rPr>
          <w:rFonts w:ascii="Arial" w:hAnsi="Arial" w:cs="Arial"/>
          <w:b/>
          <w:bCs/>
          <w:sz w:val="24"/>
        </w:rPr>
        <w:t xml:space="preserve">avoiding </w:t>
      </w:r>
      <w:r w:rsidR="00CE2474">
        <w:rPr>
          <w:rFonts w:ascii="Arial" w:hAnsi="Arial" w:cs="Arial"/>
          <w:b/>
          <w:bCs/>
          <w:sz w:val="24"/>
        </w:rPr>
        <w:t>simultaneous</w:t>
      </w:r>
      <w:bookmarkStart w:id="0" w:name="_GoBack"/>
      <w:bookmarkEnd w:id="0"/>
      <w:r w:rsidR="00CE2474">
        <w:rPr>
          <w:rFonts w:ascii="Arial" w:hAnsi="Arial" w:cs="Arial"/>
          <w:b/>
          <w:bCs/>
          <w:sz w:val="24"/>
        </w:rPr>
        <w:t xml:space="preserve"> CHO</w:t>
      </w:r>
      <w:r w:rsidR="005617E6">
        <w:rPr>
          <w:rFonts w:ascii="Arial" w:hAnsi="Arial" w:cs="Arial"/>
          <w:b/>
          <w:bCs/>
          <w:sz w:val="24"/>
        </w:rPr>
        <w:t xml:space="preserve"> and CPC</w:t>
      </w:r>
    </w:p>
    <w:p w14:paraId="1F147C23" w14:textId="5A32483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11A74" w:rsidRPr="00411A74">
        <w:rPr>
          <w:rFonts w:ascii="Arial" w:hAnsi="Arial" w:cs="Arial"/>
          <w:b/>
          <w:bCs/>
          <w:sz w:val="24"/>
        </w:rPr>
        <w:t>NR_Mob_enh</w:t>
      </w:r>
      <w:proofErr w:type="spellEnd"/>
      <w:r w:rsidR="00411A74" w:rsidRPr="00411A7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11A7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8FC801" w14:textId="64B7E0EF" w:rsidR="005A7BD5" w:rsidRDefault="00D05555" w:rsidP="005A7BD5">
      <w:r>
        <w:t xml:space="preserve">RAN2 </w:t>
      </w:r>
      <w:r w:rsidR="00411A74">
        <w:t xml:space="preserve">is focused on specifying the SN-initiated </w:t>
      </w:r>
      <w:proofErr w:type="spellStart"/>
      <w:r w:rsidR="00411A74">
        <w:t>PSCell</w:t>
      </w:r>
      <w:proofErr w:type="spellEnd"/>
      <w:r w:rsidR="00411A74">
        <w:t xml:space="preserve"> change as a part of Rel-16 WI on Mobility enhancements in NR. In the course of </w:t>
      </w:r>
      <w:r w:rsidR="00411A74" w:rsidRPr="00411A74">
        <w:t xml:space="preserve">[108#67][NR Mob] </w:t>
      </w:r>
      <w:r w:rsidR="00411A74">
        <w:t xml:space="preserve">e-mail discussion (report available in </w:t>
      </w:r>
      <w:r w:rsidR="00411A74">
        <w:fldChar w:fldCharType="begin"/>
      </w:r>
      <w:r w:rsidR="00411A74">
        <w:instrText xml:space="preserve"> REF _Ref31103287 \r \h </w:instrText>
      </w:r>
      <w:r w:rsidR="00411A74">
        <w:fldChar w:fldCharType="separate"/>
      </w:r>
      <w:r w:rsidR="00411A74">
        <w:t>[1]</w:t>
      </w:r>
      <w:r w:rsidR="00411A74">
        <w:fldChar w:fldCharType="end"/>
      </w:r>
      <w:r w:rsidR="00411A74">
        <w:t>) it was considered</w:t>
      </w:r>
      <w:r w:rsidR="00CE2474">
        <w:t xml:space="preserve"> whether the UE may be simultaneously configured with CHO and CPC. In </w:t>
      </w:r>
      <w:r w:rsidR="004E7E13">
        <w:t>particular</w:t>
      </w:r>
      <w:r w:rsidR="00CE2474">
        <w:t>, it was discussed how to avoid such simultaneous presence when CPC is configured solely by the SN, without MN’s involvement.</w:t>
      </w:r>
      <w:r w:rsidR="00411A74">
        <w:t xml:space="preserve"> This paper </w:t>
      </w:r>
      <w:r w:rsidR="00AC49D0">
        <w:t>provides our further thoughts on this topic.</w:t>
      </w:r>
    </w:p>
    <w:p w14:paraId="71F8BAB6" w14:textId="16E8C82B" w:rsidR="00A339DB" w:rsidRDefault="00CE2474" w:rsidP="00A339DB">
      <w:pPr>
        <w:pStyle w:val="Heading1"/>
      </w:pPr>
      <w:r>
        <w:t>2</w:t>
      </w:r>
      <w:r w:rsidR="00A339DB" w:rsidRPr="006E13D1">
        <w:tab/>
      </w:r>
      <w:r w:rsidR="00A339DB">
        <w:t>Simultaneous C</w:t>
      </w:r>
      <w:r>
        <w:t xml:space="preserve">onditional Handover and </w:t>
      </w:r>
      <w:proofErr w:type="spellStart"/>
      <w:r>
        <w:t>PSCell</w:t>
      </w:r>
      <w:proofErr w:type="spellEnd"/>
      <w:r>
        <w:t xml:space="preserve"> change</w:t>
      </w:r>
    </w:p>
    <w:p w14:paraId="581E7076" w14:textId="7BFEF446" w:rsidR="00A339DB" w:rsidRDefault="004B6E5A" w:rsidP="00A339DB">
      <w:r>
        <w:t>In the email discussion</w:t>
      </w:r>
      <w:r w:rsidR="00CE2474">
        <w:t xml:space="preserve"> on CPC [1]</w:t>
      </w:r>
      <w:r>
        <w:t>, the majority of companies have agreed that simultaneous CHO and CPC are not considered in Rel</w:t>
      </w:r>
      <w:r w:rsidR="00501234">
        <w:t>-</w:t>
      </w:r>
      <w:r>
        <w:t>16:</w:t>
      </w:r>
    </w:p>
    <w:tbl>
      <w:tblPr>
        <w:tblStyle w:val="TableGrid"/>
        <w:tblW w:w="0" w:type="auto"/>
        <w:tblInd w:w="240" w:type="dxa"/>
        <w:tblLook w:val="04A0" w:firstRow="1" w:lastRow="0" w:firstColumn="1" w:lastColumn="0" w:noHBand="0" w:noVBand="1"/>
      </w:tblPr>
      <w:tblGrid>
        <w:gridCol w:w="9391"/>
      </w:tblGrid>
      <w:tr w:rsidR="004B6E5A" w14:paraId="6026A61F" w14:textId="77777777" w:rsidTr="00F77E66">
        <w:tc>
          <w:tcPr>
            <w:tcW w:w="10196" w:type="dxa"/>
          </w:tcPr>
          <w:p w14:paraId="5D6B73F7" w14:textId="7B53D902" w:rsidR="004B6E5A" w:rsidRPr="003B7F7A" w:rsidRDefault="004B6E5A" w:rsidP="00F77E66">
            <w:pPr>
              <w:rPr>
                <w:rFonts w:eastAsia="Malgun Gothic"/>
                <w:i/>
                <w:iCs/>
                <w:lang w:eastAsia="ko-KR"/>
              </w:rPr>
            </w:pPr>
            <w:r w:rsidRPr="003B7F7A">
              <w:rPr>
                <w:rFonts w:cs="Arial"/>
                <w:bCs/>
                <w:i/>
                <w:iCs/>
                <w:color w:val="222222"/>
                <w:shd w:val="clear" w:color="auto" w:fill="FFFFFF"/>
              </w:rPr>
              <w:t xml:space="preserve">Summary Q5: 11 companies agree that simultaneous support of CHO and CPC is not to be considered in Rel-16. 5 companies see that simultaneous support of CHO and CPC should be considered in this release considering that it is possible for </w:t>
            </w:r>
            <w:r w:rsidRPr="003B7F7A">
              <w:rPr>
                <w:rFonts w:eastAsia="Malgun Gothic"/>
                <w:i/>
                <w:iCs/>
                <w:lang w:eastAsia="ko-KR"/>
              </w:rPr>
              <w:t>scenario that the UE receives CHO configuration from MN after receiving CPC configuration from SN because CPC will be performing w/o MN involvement.  If however CHO and CPC are triggered simultaneously, the UE should prioritize CHO over CPC. Based on the majority, it was proposed that</w:t>
            </w:r>
            <w:r w:rsidR="00BF08A9" w:rsidRPr="003B7F7A">
              <w:rPr>
                <w:rFonts w:eastAsia="Malgun Gothic"/>
                <w:i/>
                <w:iCs/>
                <w:lang w:eastAsia="ko-KR"/>
              </w:rPr>
              <w:t>:</w:t>
            </w:r>
          </w:p>
          <w:p w14:paraId="7E4CB773" w14:textId="77777777" w:rsidR="004B6E5A" w:rsidRPr="00E52A18" w:rsidRDefault="004B6E5A" w:rsidP="00F77E66">
            <w:pPr>
              <w:rPr>
                <w:rFonts w:eastAsiaTheme="minorEastAsia"/>
              </w:rPr>
            </w:pPr>
            <w:r w:rsidRPr="003B7F7A">
              <w:rPr>
                <w:rFonts w:eastAsia="Malgun Gothic"/>
                <w:i/>
                <w:iCs/>
                <w:lang w:eastAsia="ko-KR"/>
              </w:rPr>
              <w:t xml:space="preserve">Proposal 5: </w:t>
            </w:r>
            <w:r w:rsidRPr="003B7F7A">
              <w:rPr>
                <w:i/>
                <w:iCs/>
              </w:rPr>
              <w:t>support of CHO and CPC-intra-SN configuration simultaneously is not considered in Rel-16 due to limited time.</w:t>
            </w:r>
            <w:r>
              <w:t xml:space="preserve"> </w:t>
            </w:r>
          </w:p>
        </w:tc>
      </w:tr>
    </w:tbl>
    <w:p w14:paraId="0F8576F8" w14:textId="36710DBF" w:rsidR="008F1F75" w:rsidRDefault="004E7E13" w:rsidP="00A209D6">
      <w:r>
        <w:br/>
      </w:r>
      <w:r w:rsidR="004B6E5A">
        <w:t xml:space="preserve">However, it is not clear how the network can guarantee that the UE does not receive </w:t>
      </w:r>
      <w:proofErr w:type="spellStart"/>
      <w:r w:rsidR="004B6E5A" w:rsidRPr="004E7E13">
        <w:rPr>
          <w:i/>
          <w:iCs/>
        </w:rPr>
        <w:t>cho</w:t>
      </w:r>
      <w:proofErr w:type="spellEnd"/>
      <w:r w:rsidR="004B6E5A" w:rsidRPr="004E7E13">
        <w:rPr>
          <w:i/>
          <w:iCs/>
        </w:rPr>
        <w:t>-</w:t>
      </w:r>
      <w:r w:rsidRPr="004E7E13">
        <w:rPr>
          <w:i/>
          <w:iCs/>
        </w:rPr>
        <w:t>C</w:t>
      </w:r>
      <w:r w:rsidR="004B6E5A" w:rsidRPr="004E7E13">
        <w:rPr>
          <w:i/>
          <w:iCs/>
        </w:rPr>
        <w:t>onfig</w:t>
      </w:r>
      <w:r w:rsidR="004B6E5A">
        <w:t xml:space="preserve"> from MN while it already has </w:t>
      </w:r>
      <w:proofErr w:type="spellStart"/>
      <w:r w:rsidR="004B6E5A" w:rsidRPr="004E7E13">
        <w:rPr>
          <w:i/>
          <w:iCs/>
        </w:rPr>
        <w:t>cpc</w:t>
      </w:r>
      <w:proofErr w:type="spellEnd"/>
      <w:r w:rsidR="004B6E5A" w:rsidRPr="004E7E13">
        <w:rPr>
          <w:i/>
          <w:iCs/>
        </w:rPr>
        <w:t>-</w:t>
      </w:r>
      <w:r w:rsidRPr="004E7E13">
        <w:rPr>
          <w:i/>
          <w:iCs/>
        </w:rPr>
        <w:t>C</w:t>
      </w:r>
      <w:r w:rsidR="004B6E5A" w:rsidRPr="004E7E13">
        <w:rPr>
          <w:i/>
          <w:iCs/>
        </w:rPr>
        <w:t>onfig</w:t>
      </w:r>
      <w:r w:rsidR="004B6E5A">
        <w:t xml:space="preserve">, or, equivalently, that the UE does not receive </w:t>
      </w:r>
      <w:proofErr w:type="spellStart"/>
      <w:r w:rsidR="004B6E5A" w:rsidRPr="004E7E13">
        <w:rPr>
          <w:i/>
          <w:iCs/>
        </w:rPr>
        <w:t>cpc</w:t>
      </w:r>
      <w:proofErr w:type="spellEnd"/>
      <w:r w:rsidR="004B6E5A" w:rsidRPr="004E7E13">
        <w:rPr>
          <w:i/>
          <w:iCs/>
        </w:rPr>
        <w:t>-</w:t>
      </w:r>
      <w:r w:rsidRPr="004E7E13">
        <w:rPr>
          <w:i/>
          <w:iCs/>
        </w:rPr>
        <w:t>C</w:t>
      </w:r>
      <w:r w:rsidR="004B6E5A" w:rsidRPr="004E7E13">
        <w:rPr>
          <w:i/>
          <w:iCs/>
        </w:rPr>
        <w:t>onfig</w:t>
      </w:r>
      <w:r w:rsidR="004B6E5A">
        <w:t xml:space="preserve"> from SN while it already has </w:t>
      </w:r>
      <w:proofErr w:type="spellStart"/>
      <w:r w:rsidR="004B6E5A" w:rsidRPr="004E7E13">
        <w:rPr>
          <w:i/>
          <w:iCs/>
        </w:rPr>
        <w:t>cho</w:t>
      </w:r>
      <w:proofErr w:type="spellEnd"/>
      <w:r w:rsidR="004B6E5A" w:rsidRPr="004E7E13">
        <w:rPr>
          <w:i/>
          <w:iCs/>
        </w:rPr>
        <w:t>-</w:t>
      </w:r>
      <w:r>
        <w:rPr>
          <w:i/>
          <w:iCs/>
        </w:rPr>
        <w:t>C</w:t>
      </w:r>
      <w:r w:rsidR="004B6E5A" w:rsidRPr="004E7E13">
        <w:rPr>
          <w:i/>
          <w:iCs/>
        </w:rPr>
        <w:t>onfig</w:t>
      </w:r>
      <w:r w:rsidR="004B6E5A">
        <w:t>. The only option</w:t>
      </w:r>
      <w:r w:rsidR="00501234">
        <w:t xml:space="preserve"> considered in </w:t>
      </w:r>
      <w:r w:rsidR="00501234">
        <w:fldChar w:fldCharType="begin"/>
      </w:r>
      <w:r w:rsidR="00501234">
        <w:instrText xml:space="preserve"> REF _Ref31103287 \r \h </w:instrText>
      </w:r>
      <w:r w:rsidR="00501234">
        <w:fldChar w:fldCharType="separate"/>
      </w:r>
      <w:r w:rsidR="00501234">
        <w:t>[1]</w:t>
      </w:r>
      <w:r w:rsidR="00501234">
        <w:fldChar w:fldCharType="end"/>
      </w:r>
      <w:r w:rsidR="00501234">
        <w:t xml:space="preserve"> </w:t>
      </w:r>
      <w:r w:rsidR="004B6E5A">
        <w:t>w</w:t>
      </w:r>
      <w:r w:rsidR="00501234">
        <w:t>as</w:t>
      </w:r>
      <w:r w:rsidR="004B6E5A">
        <w:t xml:space="preserve"> the assumption that OAM properly configures SN and MN. However, such a solution would </w:t>
      </w:r>
      <w:r w:rsidR="00501234">
        <w:t xml:space="preserve">be </w:t>
      </w:r>
      <w:r w:rsidR="004B6E5A">
        <w:t>rather static. Practically, this would only allow for either CHO or CPC over a large area, i.e. for all UEs, no matter whether they are close to MN boundary or close to SN boundary.</w:t>
      </w:r>
    </w:p>
    <w:p w14:paraId="51FDACC2" w14:textId="79FA45AF" w:rsidR="004B6E5A" w:rsidRDefault="004B6E5A" w:rsidP="00A209D6">
      <w:r>
        <w:t>Whereas it is rather obvious, that the Rel</w:t>
      </w:r>
      <w:r w:rsidR="00501234">
        <w:t>-</w:t>
      </w:r>
      <w:r>
        <w:t xml:space="preserve">16 timeline will not allow for a tight and dynamic coordination between CHO and CPC (i.e. between MN and SN) without any risky race condition, we strongly believe that a slightly less static and UE specific coordination </w:t>
      </w:r>
      <w:r w:rsidR="004E7E13">
        <w:t xml:space="preserve">still </w:t>
      </w:r>
      <w:r>
        <w:t>would be highly desirable.</w:t>
      </w:r>
      <w:r w:rsidR="004F7822">
        <w:t xml:space="preserve"> For instance, UEs in the vicinity of a</w:t>
      </w:r>
      <w:r w:rsidR="004E7E13">
        <w:t>n</w:t>
      </w:r>
      <w:r w:rsidR="004F7822">
        <w:t xml:space="preserve"> MN boundary should be able to use CHO (and easily survive without CPC), whereas UEs in the vicinity of SN boundary should be able to use CPC (and easily survive without CHO).</w:t>
      </w:r>
    </w:p>
    <w:p w14:paraId="33819436" w14:textId="0A0C6CB2" w:rsidR="004F7822" w:rsidRPr="00CB28BD" w:rsidRDefault="004F7822" w:rsidP="00A209D6">
      <w:pPr>
        <w:rPr>
          <w:b/>
          <w:bCs/>
        </w:rPr>
      </w:pPr>
      <w:r w:rsidRPr="00CB28BD">
        <w:rPr>
          <w:b/>
          <w:bCs/>
        </w:rPr>
        <w:t xml:space="preserve">Observation </w:t>
      </w:r>
      <w:r w:rsidR="00CE2474">
        <w:rPr>
          <w:b/>
          <w:bCs/>
        </w:rPr>
        <w:t>1</w:t>
      </w:r>
      <w:r w:rsidRPr="00CB28BD">
        <w:rPr>
          <w:b/>
          <w:bCs/>
        </w:rPr>
        <w:t>: A UE specific coordination between CHO and CPC is highly beneficial</w:t>
      </w:r>
      <w:r w:rsidR="00C91910">
        <w:rPr>
          <w:b/>
          <w:bCs/>
        </w:rPr>
        <w:t>. It does not have to be</w:t>
      </w:r>
      <w:r w:rsidRPr="00CB28BD">
        <w:rPr>
          <w:b/>
          <w:bCs/>
        </w:rPr>
        <w:t xml:space="preserve"> highly dynamic, but </w:t>
      </w:r>
      <w:r w:rsidR="00C91910">
        <w:rPr>
          <w:b/>
          <w:bCs/>
        </w:rPr>
        <w:t>relying</w:t>
      </w:r>
      <w:r w:rsidRPr="00CB28BD">
        <w:rPr>
          <w:b/>
          <w:bCs/>
        </w:rPr>
        <w:t xml:space="preserve"> </w:t>
      </w:r>
      <w:r w:rsidR="00C91910">
        <w:rPr>
          <w:b/>
          <w:bCs/>
        </w:rPr>
        <w:t xml:space="preserve">on </w:t>
      </w:r>
      <w:r w:rsidRPr="00CB28BD">
        <w:rPr>
          <w:b/>
          <w:bCs/>
        </w:rPr>
        <w:t>a non-specified OAM approach</w:t>
      </w:r>
      <w:r w:rsidR="00C91910">
        <w:rPr>
          <w:b/>
          <w:bCs/>
        </w:rPr>
        <w:t xml:space="preserve"> </w:t>
      </w:r>
      <w:r w:rsidR="00FF313D">
        <w:rPr>
          <w:b/>
          <w:bCs/>
        </w:rPr>
        <w:t>may</w:t>
      </w:r>
      <w:r w:rsidR="00C91910">
        <w:rPr>
          <w:b/>
          <w:bCs/>
        </w:rPr>
        <w:t xml:space="preserve"> not suffice</w:t>
      </w:r>
      <w:r w:rsidR="008C45A4">
        <w:rPr>
          <w:b/>
          <w:bCs/>
        </w:rPr>
        <w:t xml:space="preserve"> and does not enable per UE coordination</w:t>
      </w:r>
      <w:r w:rsidRPr="00CB28BD">
        <w:rPr>
          <w:b/>
          <w:bCs/>
        </w:rPr>
        <w:t>.</w:t>
      </w:r>
    </w:p>
    <w:p w14:paraId="7CE00114" w14:textId="474BE08F" w:rsidR="004F7822" w:rsidRDefault="00843EDE" w:rsidP="00A209D6">
      <w:r>
        <w:t>T</w:t>
      </w:r>
      <w:r w:rsidR="004F7822">
        <w:t xml:space="preserve">he conclusion of the email discussion </w:t>
      </w:r>
      <w:r>
        <w:t xml:space="preserve">seems to </w:t>
      </w:r>
      <w:r w:rsidR="004F7822">
        <w:t xml:space="preserve">exclude the involvement of the UE in such a coordination, i.e. the coordination has to be solved in the network. </w:t>
      </w:r>
      <w:r>
        <w:t xml:space="preserve">To achieve such goal </w:t>
      </w:r>
      <w:r w:rsidR="004F7822">
        <w:t>RAN3</w:t>
      </w:r>
      <w:r>
        <w:t xml:space="preserve"> involvement is needed. RAN3</w:t>
      </w:r>
      <w:r w:rsidR="004F7822">
        <w:t xml:space="preserve"> may consider a simple solution</w:t>
      </w:r>
      <w:r>
        <w:t>, e.g. to</w:t>
      </w:r>
      <w:r w:rsidR="004F7822">
        <w:t xml:space="preserve"> extend the SN Addition</w:t>
      </w:r>
      <w:r w:rsidR="0006277F">
        <w:t xml:space="preserve"> procedure</w:t>
      </w:r>
      <w:r w:rsidR="004F7822">
        <w:t xml:space="preserve"> with a</w:t>
      </w:r>
      <w:r w:rsidR="0006277F">
        <w:t>n</w:t>
      </w:r>
      <w:r w:rsidR="004F7822">
        <w:t xml:space="preserve"> indicati</w:t>
      </w:r>
      <w:r w:rsidR="0006277F">
        <w:t>on</w:t>
      </w:r>
      <w:r w:rsidR="004F7822">
        <w:t xml:space="preserve"> whether or not MN is planning to use CHO.</w:t>
      </w:r>
      <w:r w:rsidR="00CB28BD">
        <w:t xml:space="preserve"> This could be set when the UE is close to a</w:t>
      </w:r>
      <w:r>
        <w:t>n</w:t>
      </w:r>
      <w:r w:rsidR="00CB28BD">
        <w:t xml:space="preserve"> MN boundary indicating that the usage of CHO is planned; the SN would not use CPC in this case.</w:t>
      </w:r>
    </w:p>
    <w:p w14:paraId="67585671" w14:textId="70FF74E3" w:rsidR="00CB28BD" w:rsidRPr="00CB28BD" w:rsidRDefault="00CB28BD" w:rsidP="00A209D6">
      <w:pPr>
        <w:rPr>
          <w:b/>
          <w:bCs/>
        </w:rPr>
      </w:pPr>
      <w:r w:rsidRPr="00CB28BD">
        <w:rPr>
          <w:b/>
          <w:bCs/>
        </w:rPr>
        <w:lastRenderedPageBreak/>
        <w:t xml:space="preserve">Proposal </w:t>
      </w:r>
      <w:r w:rsidR="00CE2474">
        <w:rPr>
          <w:b/>
          <w:bCs/>
        </w:rPr>
        <w:t>1</w:t>
      </w:r>
      <w:r w:rsidRPr="00CB28BD">
        <w:rPr>
          <w:b/>
          <w:bCs/>
        </w:rPr>
        <w:t>: A</w:t>
      </w:r>
      <w:r w:rsidR="0006277F">
        <w:rPr>
          <w:b/>
          <w:bCs/>
        </w:rPr>
        <w:t>n</w:t>
      </w:r>
      <w:r w:rsidRPr="00CB28BD">
        <w:rPr>
          <w:b/>
          <w:bCs/>
        </w:rPr>
        <w:t xml:space="preserve"> LS shall be sen</w:t>
      </w:r>
      <w:r w:rsidR="00C91910">
        <w:rPr>
          <w:b/>
          <w:bCs/>
        </w:rPr>
        <w:t>t</w:t>
      </w:r>
      <w:r w:rsidRPr="00CB28BD">
        <w:rPr>
          <w:b/>
          <w:bCs/>
        </w:rPr>
        <w:t xml:space="preserve"> to RAN3 to </w:t>
      </w:r>
      <w:r w:rsidR="0006277F">
        <w:rPr>
          <w:b/>
          <w:bCs/>
        </w:rPr>
        <w:t xml:space="preserve">ask them to </w:t>
      </w:r>
      <w:r w:rsidRPr="00CB28BD">
        <w:rPr>
          <w:b/>
          <w:bCs/>
        </w:rPr>
        <w:t>consider a solution for UE specific coordination between CHO and CPC.</w:t>
      </w:r>
    </w:p>
    <w:p w14:paraId="47010B17" w14:textId="45BDF50C" w:rsidR="004B6E5A" w:rsidRDefault="00B25910" w:rsidP="00A209D6">
      <w:r>
        <w:t>Thanks to such approach, the use of CHO and CPC between MN and SN is more flexible than in case of OAM-dependent configuration, while not requiring any excessive signalling between the UE and its MN &amp; SN.</w:t>
      </w:r>
    </w:p>
    <w:p w14:paraId="236EA687" w14:textId="7D80CA55" w:rsidR="00610F8B" w:rsidRDefault="00610F8B" w:rsidP="00A209D6">
      <w:r>
        <w:t xml:space="preserve">Draft LS </w:t>
      </w:r>
      <w:r w:rsidR="00D16042">
        <w:t xml:space="preserve">to RAN3 </w:t>
      </w:r>
      <w:r>
        <w:t xml:space="preserve">is available in </w:t>
      </w:r>
      <w:r>
        <w:fldChar w:fldCharType="begin"/>
      </w:r>
      <w:r>
        <w:instrText xml:space="preserve"> REF _Ref32309064 \r \h </w:instrText>
      </w:r>
      <w:r>
        <w:fldChar w:fldCharType="separate"/>
      </w:r>
      <w:r>
        <w:t>[2]</w:t>
      </w:r>
      <w:r>
        <w:fldChar w:fldCharType="end"/>
      </w:r>
      <w:r>
        <w:t>.</w:t>
      </w:r>
    </w:p>
    <w:p w14:paraId="5FF2457F" w14:textId="7976F155" w:rsidR="00A209D6" w:rsidRPr="006E13D1" w:rsidRDefault="00CE2474" w:rsidP="00A209D6">
      <w:pPr>
        <w:pStyle w:val="Heading1"/>
      </w:pPr>
      <w:r>
        <w:t>3</w:t>
      </w:r>
      <w:r w:rsidR="00A209D6" w:rsidRPr="006E13D1">
        <w:tab/>
      </w:r>
      <w:r w:rsidR="008C3057">
        <w:t>Conclusion</w:t>
      </w:r>
    </w:p>
    <w:p w14:paraId="6C60FFDC" w14:textId="4329DE13" w:rsidR="00A209D6" w:rsidRPr="006E13D1" w:rsidRDefault="005F0B1A" w:rsidP="00A209D6">
      <w:r>
        <w:t>This paper elaborated on MN-initiated reconfigurations in the presence of SN-initiated CPC. We made the following observations and proposals:</w:t>
      </w:r>
    </w:p>
    <w:p w14:paraId="64F65F37" w14:textId="041E361E" w:rsidR="00CE2474" w:rsidRPr="00CB28BD" w:rsidRDefault="00CE2474" w:rsidP="00CE2474">
      <w:pPr>
        <w:rPr>
          <w:b/>
          <w:bCs/>
        </w:rPr>
      </w:pPr>
      <w:r w:rsidRPr="00CB28BD">
        <w:rPr>
          <w:b/>
          <w:bCs/>
        </w:rPr>
        <w:t xml:space="preserve">Observation </w:t>
      </w:r>
      <w:r>
        <w:rPr>
          <w:b/>
          <w:bCs/>
        </w:rPr>
        <w:t>1</w:t>
      </w:r>
      <w:r w:rsidRPr="00CB28BD">
        <w:rPr>
          <w:b/>
          <w:bCs/>
        </w:rPr>
        <w:t>: A UE specific coordination between CHO and CPC is highly beneficial</w:t>
      </w:r>
      <w:r>
        <w:rPr>
          <w:b/>
          <w:bCs/>
        </w:rPr>
        <w:t>. It does not have to be</w:t>
      </w:r>
      <w:r w:rsidRPr="00CB28BD">
        <w:rPr>
          <w:b/>
          <w:bCs/>
        </w:rPr>
        <w:t xml:space="preserve"> highly dynamic, but </w:t>
      </w:r>
      <w:r>
        <w:rPr>
          <w:b/>
          <w:bCs/>
        </w:rPr>
        <w:t>relying</w:t>
      </w:r>
      <w:r w:rsidRPr="00CB28BD">
        <w:rPr>
          <w:b/>
          <w:bCs/>
        </w:rPr>
        <w:t xml:space="preserve"> </w:t>
      </w:r>
      <w:r>
        <w:rPr>
          <w:b/>
          <w:bCs/>
        </w:rPr>
        <w:t xml:space="preserve">on </w:t>
      </w:r>
      <w:r w:rsidRPr="00CB28BD">
        <w:rPr>
          <w:b/>
          <w:bCs/>
        </w:rPr>
        <w:t>a non-specified OAM approach</w:t>
      </w:r>
      <w:r>
        <w:rPr>
          <w:b/>
          <w:bCs/>
        </w:rPr>
        <w:t xml:space="preserve"> </w:t>
      </w:r>
      <w:r w:rsidR="00FF313D">
        <w:rPr>
          <w:b/>
          <w:bCs/>
        </w:rPr>
        <w:t>may</w:t>
      </w:r>
      <w:r>
        <w:rPr>
          <w:b/>
          <w:bCs/>
        </w:rPr>
        <w:t xml:space="preserve"> not suffice</w:t>
      </w:r>
      <w:r w:rsidR="008C45A4">
        <w:rPr>
          <w:b/>
          <w:bCs/>
        </w:rPr>
        <w:t xml:space="preserve"> and does not enable per UE coordination</w:t>
      </w:r>
      <w:r w:rsidRPr="00CB28BD">
        <w:rPr>
          <w:b/>
          <w:bCs/>
        </w:rPr>
        <w:t>.</w:t>
      </w:r>
    </w:p>
    <w:p w14:paraId="1E9B6105" w14:textId="77777777" w:rsidR="0006277F" w:rsidRPr="00CB28BD" w:rsidRDefault="0006277F" w:rsidP="0006277F">
      <w:pPr>
        <w:rPr>
          <w:b/>
          <w:bCs/>
        </w:rPr>
      </w:pPr>
      <w:r w:rsidRPr="00CB28BD">
        <w:rPr>
          <w:b/>
          <w:bCs/>
        </w:rPr>
        <w:t xml:space="preserve">Proposal </w:t>
      </w:r>
      <w:r>
        <w:rPr>
          <w:b/>
          <w:bCs/>
        </w:rPr>
        <w:t>1</w:t>
      </w:r>
      <w:r w:rsidRPr="00CB28BD">
        <w:rPr>
          <w:b/>
          <w:bCs/>
        </w:rPr>
        <w:t>: A</w:t>
      </w:r>
      <w:r>
        <w:rPr>
          <w:b/>
          <w:bCs/>
        </w:rPr>
        <w:t>n</w:t>
      </w:r>
      <w:r w:rsidRPr="00CB28BD">
        <w:rPr>
          <w:b/>
          <w:bCs/>
        </w:rPr>
        <w:t xml:space="preserve"> LS shall be sen</w:t>
      </w:r>
      <w:r>
        <w:rPr>
          <w:b/>
          <w:bCs/>
        </w:rPr>
        <w:t>t</w:t>
      </w:r>
      <w:r w:rsidRPr="00CB28BD">
        <w:rPr>
          <w:b/>
          <w:bCs/>
        </w:rPr>
        <w:t xml:space="preserve"> to RAN3 to </w:t>
      </w:r>
      <w:r>
        <w:rPr>
          <w:b/>
          <w:bCs/>
        </w:rPr>
        <w:t xml:space="preserve">ask them to </w:t>
      </w:r>
      <w:r w:rsidRPr="00CB28BD">
        <w:rPr>
          <w:b/>
          <w:bCs/>
        </w:rPr>
        <w:t>consider a solution for UE specific coordination between CHO and CPC.</w:t>
      </w:r>
    </w:p>
    <w:p w14:paraId="21FE3F35" w14:textId="6A357E2D" w:rsidR="00411A74" w:rsidRDefault="00411A74">
      <w:pPr>
        <w:pStyle w:val="Heading1"/>
      </w:pPr>
      <w:r>
        <w:t>References</w:t>
      </w:r>
    </w:p>
    <w:p w14:paraId="21367903" w14:textId="0B9DB135" w:rsidR="00411A74" w:rsidRDefault="00411A74">
      <w:pPr>
        <w:pStyle w:val="ListParagraph"/>
        <w:numPr>
          <w:ilvl w:val="0"/>
          <w:numId w:val="16"/>
        </w:numPr>
      </w:pPr>
      <w:bookmarkStart w:id="1" w:name="_Ref31103287"/>
      <w:r>
        <w:t>R2-20</w:t>
      </w:r>
      <w:r w:rsidR="003B7F7A">
        <w:t>00900</w:t>
      </w:r>
      <w:r>
        <w:t xml:space="preserve"> </w:t>
      </w:r>
      <w:r w:rsidRPr="003B7F7A">
        <w:rPr>
          <w:i/>
        </w:rPr>
        <w:t>E-mail discussion report [108#67][NR Mob] Resolving open issues in CPAC and creating TP</w:t>
      </w:r>
      <w:r>
        <w:t xml:space="preserve"> 3GPP TSG-RAN WG2 Meeting #109</w:t>
      </w:r>
      <w:r w:rsidR="00CE2474">
        <w:t>e</w:t>
      </w:r>
      <w:r>
        <w:t xml:space="preserve"> </w:t>
      </w:r>
      <w:proofErr w:type="spellStart"/>
      <w:r w:rsidR="00CE2474">
        <w:t>Elbonia</w:t>
      </w:r>
      <w:proofErr w:type="spellEnd"/>
      <w:r>
        <w:t>, 24 February</w:t>
      </w:r>
      <w:r w:rsidR="00CE2474">
        <w:t xml:space="preserve"> – 6 March</w:t>
      </w:r>
      <w:r>
        <w:t xml:space="preserve"> 2020</w:t>
      </w:r>
      <w:bookmarkEnd w:id="1"/>
    </w:p>
    <w:p w14:paraId="3C18EA6B" w14:textId="34859602" w:rsidR="00C91910" w:rsidRPr="00411A74" w:rsidRDefault="00C91910" w:rsidP="003B7F7A">
      <w:pPr>
        <w:pStyle w:val="ListParagraph"/>
        <w:numPr>
          <w:ilvl w:val="0"/>
          <w:numId w:val="16"/>
        </w:numPr>
      </w:pPr>
      <w:bookmarkStart w:id="2" w:name="_Ref32309064"/>
      <w:r>
        <w:t>R2-20</w:t>
      </w:r>
      <w:r w:rsidR="003B7F7A">
        <w:t>01008</w:t>
      </w:r>
      <w:r>
        <w:t xml:space="preserve"> </w:t>
      </w:r>
      <w:r w:rsidRPr="00D16042">
        <w:rPr>
          <w:i/>
          <w:iCs/>
        </w:rPr>
        <w:t>LS to RAN3</w:t>
      </w:r>
      <w:bookmarkEnd w:id="2"/>
      <w:r w:rsidR="00CE2474" w:rsidRPr="00D16042">
        <w:rPr>
          <w:i/>
          <w:iCs/>
        </w:rPr>
        <w:t xml:space="preserve"> on avoiding simultaneous CHO and CPC </w:t>
      </w:r>
      <w:r w:rsidR="00CE2474" w:rsidRPr="00CE2474">
        <w:t xml:space="preserve">3GPP TSG-RAN WG2 Meeting #109e </w:t>
      </w:r>
      <w:proofErr w:type="spellStart"/>
      <w:r w:rsidR="00CE2474" w:rsidRPr="00CE2474">
        <w:t>Elbonia</w:t>
      </w:r>
      <w:proofErr w:type="spellEnd"/>
      <w:r w:rsidR="00CE2474" w:rsidRPr="00CE2474">
        <w:t>, 24 February – 6 March 2020</w:t>
      </w:r>
    </w:p>
    <w:sectPr w:rsidR="00C91910" w:rsidRPr="00411A7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2DFE" w14:textId="77777777" w:rsidR="00756C2B" w:rsidRDefault="00756C2B">
      <w:r>
        <w:separator/>
      </w:r>
    </w:p>
  </w:endnote>
  <w:endnote w:type="continuationSeparator" w:id="0">
    <w:p w14:paraId="134E6EC6" w14:textId="77777777" w:rsidR="00756C2B" w:rsidRDefault="00756C2B">
      <w:r>
        <w:continuationSeparator/>
      </w:r>
    </w:p>
  </w:endnote>
  <w:endnote w:type="continuationNotice" w:id="1">
    <w:p w14:paraId="690B7E6C" w14:textId="77777777" w:rsidR="00756C2B" w:rsidRDefault="00756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77E66" w:rsidRDefault="00F77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77E66" w:rsidRDefault="00F77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77E66" w:rsidRDefault="00F77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4D9A" w14:textId="77777777" w:rsidR="00756C2B" w:rsidRDefault="00756C2B">
      <w:r>
        <w:separator/>
      </w:r>
    </w:p>
  </w:footnote>
  <w:footnote w:type="continuationSeparator" w:id="0">
    <w:p w14:paraId="6BBFDAC5" w14:textId="77777777" w:rsidR="00756C2B" w:rsidRDefault="00756C2B">
      <w:r>
        <w:continuationSeparator/>
      </w:r>
    </w:p>
  </w:footnote>
  <w:footnote w:type="continuationNotice" w:id="1">
    <w:p w14:paraId="29EC74F9" w14:textId="77777777" w:rsidR="00756C2B" w:rsidRDefault="00756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77E66" w:rsidRDefault="00F77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77E66" w:rsidRDefault="00F77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77E66" w:rsidRDefault="00F77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B7747"/>
    <w:multiLevelType w:val="hybridMultilevel"/>
    <w:tmpl w:val="B58AE4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DA5C29"/>
    <w:multiLevelType w:val="hybridMultilevel"/>
    <w:tmpl w:val="BEF6562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1B44FE"/>
    <w:multiLevelType w:val="hybridMultilevel"/>
    <w:tmpl w:val="EB444D3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248F9"/>
    <w:multiLevelType w:val="hybridMultilevel"/>
    <w:tmpl w:val="5AB67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FE1064"/>
    <w:multiLevelType w:val="hybridMultilevel"/>
    <w:tmpl w:val="B58AE4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4841A80"/>
    <w:multiLevelType w:val="hybridMultilevel"/>
    <w:tmpl w:val="CCB4B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3824B9"/>
    <w:multiLevelType w:val="hybridMultilevel"/>
    <w:tmpl w:val="FB78D94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B05EAF"/>
    <w:multiLevelType w:val="hybridMultilevel"/>
    <w:tmpl w:val="4DF65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180EB3"/>
    <w:multiLevelType w:val="hybridMultilevel"/>
    <w:tmpl w:val="50A43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14"/>
  </w:num>
  <w:num w:numId="9">
    <w:abstractNumId w:val="3"/>
  </w:num>
  <w:num w:numId="10">
    <w:abstractNumId w:val="8"/>
  </w:num>
  <w:num w:numId="11">
    <w:abstractNumId w:val="2"/>
  </w:num>
  <w:num w:numId="12">
    <w:abstractNumId w:val="13"/>
  </w:num>
  <w:num w:numId="13">
    <w:abstractNumId w:val="11"/>
  </w:num>
  <w:num w:numId="14">
    <w:abstractNumId w:val="7"/>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1164"/>
    <w:rsid w:val="00033397"/>
    <w:rsid w:val="00040095"/>
    <w:rsid w:val="00043F57"/>
    <w:rsid w:val="000511A2"/>
    <w:rsid w:val="0006277F"/>
    <w:rsid w:val="00070BE1"/>
    <w:rsid w:val="00073C9C"/>
    <w:rsid w:val="00080512"/>
    <w:rsid w:val="00090468"/>
    <w:rsid w:val="00094568"/>
    <w:rsid w:val="000B7BCF"/>
    <w:rsid w:val="000C43D9"/>
    <w:rsid w:val="000C522B"/>
    <w:rsid w:val="000D0CC5"/>
    <w:rsid w:val="000D3136"/>
    <w:rsid w:val="000D58AB"/>
    <w:rsid w:val="00112F1A"/>
    <w:rsid w:val="001169C7"/>
    <w:rsid w:val="0013609A"/>
    <w:rsid w:val="00145075"/>
    <w:rsid w:val="001642AC"/>
    <w:rsid w:val="00164F63"/>
    <w:rsid w:val="001741A0"/>
    <w:rsid w:val="00175FA0"/>
    <w:rsid w:val="00190E22"/>
    <w:rsid w:val="00194CD0"/>
    <w:rsid w:val="001B49C9"/>
    <w:rsid w:val="001C23F4"/>
    <w:rsid w:val="001C4F79"/>
    <w:rsid w:val="001F10FB"/>
    <w:rsid w:val="001F168B"/>
    <w:rsid w:val="001F357A"/>
    <w:rsid w:val="001F7831"/>
    <w:rsid w:val="00204045"/>
    <w:rsid w:val="0020413F"/>
    <w:rsid w:val="0020712B"/>
    <w:rsid w:val="0022606D"/>
    <w:rsid w:val="00231728"/>
    <w:rsid w:val="00242EC2"/>
    <w:rsid w:val="00250404"/>
    <w:rsid w:val="002610D8"/>
    <w:rsid w:val="00266DDA"/>
    <w:rsid w:val="002747EC"/>
    <w:rsid w:val="002855BF"/>
    <w:rsid w:val="002E1233"/>
    <w:rsid w:val="002F0D22"/>
    <w:rsid w:val="00311B17"/>
    <w:rsid w:val="003172DC"/>
    <w:rsid w:val="00325661"/>
    <w:rsid w:val="00325AE3"/>
    <w:rsid w:val="00326069"/>
    <w:rsid w:val="00334AF6"/>
    <w:rsid w:val="00336524"/>
    <w:rsid w:val="0035462D"/>
    <w:rsid w:val="00364B41"/>
    <w:rsid w:val="00365213"/>
    <w:rsid w:val="00367A15"/>
    <w:rsid w:val="00383096"/>
    <w:rsid w:val="003A41EF"/>
    <w:rsid w:val="003B40AD"/>
    <w:rsid w:val="003B7F7A"/>
    <w:rsid w:val="003C4E37"/>
    <w:rsid w:val="003E16BE"/>
    <w:rsid w:val="003F4E28"/>
    <w:rsid w:val="003F76A5"/>
    <w:rsid w:val="004006E8"/>
    <w:rsid w:val="00401855"/>
    <w:rsid w:val="00411A74"/>
    <w:rsid w:val="004218E9"/>
    <w:rsid w:val="004321BF"/>
    <w:rsid w:val="004547B7"/>
    <w:rsid w:val="00465587"/>
    <w:rsid w:val="00466334"/>
    <w:rsid w:val="00477455"/>
    <w:rsid w:val="004A1F7B"/>
    <w:rsid w:val="004B32C1"/>
    <w:rsid w:val="004B6E5A"/>
    <w:rsid w:val="004C04A7"/>
    <w:rsid w:val="004C44D2"/>
    <w:rsid w:val="004D3578"/>
    <w:rsid w:val="004D380D"/>
    <w:rsid w:val="004D65B2"/>
    <w:rsid w:val="004E0519"/>
    <w:rsid w:val="004E213A"/>
    <w:rsid w:val="004E7E13"/>
    <w:rsid w:val="004F7822"/>
    <w:rsid w:val="00501234"/>
    <w:rsid w:val="00503171"/>
    <w:rsid w:val="00506C28"/>
    <w:rsid w:val="005151E3"/>
    <w:rsid w:val="00534DA0"/>
    <w:rsid w:val="00543E6C"/>
    <w:rsid w:val="005617E6"/>
    <w:rsid w:val="00565087"/>
    <w:rsid w:val="0056573F"/>
    <w:rsid w:val="005A7BD5"/>
    <w:rsid w:val="005C27CF"/>
    <w:rsid w:val="005D602A"/>
    <w:rsid w:val="005F0B1A"/>
    <w:rsid w:val="00610F8B"/>
    <w:rsid w:val="00611566"/>
    <w:rsid w:val="006221E5"/>
    <w:rsid w:val="0062236A"/>
    <w:rsid w:val="0064012E"/>
    <w:rsid w:val="00646D99"/>
    <w:rsid w:val="00656910"/>
    <w:rsid w:val="006574C0"/>
    <w:rsid w:val="006623A3"/>
    <w:rsid w:val="006719B8"/>
    <w:rsid w:val="00687A30"/>
    <w:rsid w:val="006A20C3"/>
    <w:rsid w:val="006C66D8"/>
    <w:rsid w:val="006D1E24"/>
    <w:rsid w:val="006E1417"/>
    <w:rsid w:val="006F6A2C"/>
    <w:rsid w:val="007069DC"/>
    <w:rsid w:val="00710201"/>
    <w:rsid w:val="007115D4"/>
    <w:rsid w:val="0072073A"/>
    <w:rsid w:val="007342B5"/>
    <w:rsid w:val="00734A5B"/>
    <w:rsid w:val="00744E76"/>
    <w:rsid w:val="0075033B"/>
    <w:rsid w:val="00756C2B"/>
    <w:rsid w:val="00757D40"/>
    <w:rsid w:val="007662B5"/>
    <w:rsid w:val="00781F0F"/>
    <w:rsid w:val="0078727C"/>
    <w:rsid w:val="0079049D"/>
    <w:rsid w:val="00793DC5"/>
    <w:rsid w:val="007B18D8"/>
    <w:rsid w:val="007B3B9A"/>
    <w:rsid w:val="007C095F"/>
    <w:rsid w:val="007C2DD0"/>
    <w:rsid w:val="007D0A7F"/>
    <w:rsid w:val="007E1964"/>
    <w:rsid w:val="007F2E08"/>
    <w:rsid w:val="007F3B66"/>
    <w:rsid w:val="008028A4"/>
    <w:rsid w:val="00813245"/>
    <w:rsid w:val="00840DE0"/>
    <w:rsid w:val="00843EDE"/>
    <w:rsid w:val="00850701"/>
    <w:rsid w:val="0086354A"/>
    <w:rsid w:val="008768CA"/>
    <w:rsid w:val="00876C68"/>
    <w:rsid w:val="00877EF9"/>
    <w:rsid w:val="00880559"/>
    <w:rsid w:val="00886498"/>
    <w:rsid w:val="00886BCD"/>
    <w:rsid w:val="008970F9"/>
    <w:rsid w:val="008B5306"/>
    <w:rsid w:val="008C2E2A"/>
    <w:rsid w:val="008C3057"/>
    <w:rsid w:val="008C45A4"/>
    <w:rsid w:val="008C785E"/>
    <w:rsid w:val="008D2E4D"/>
    <w:rsid w:val="008E22B6"/>
    <w:rsid w:val="008F1F75"/>
    <w:rsid w:val="008F396F"/>
    <w:rsid w:val="008F3DCD"/>
    <w:rsid w:val="0090124E"/>
    <w:rsid w:val="0090271F"/>
    <w:rsid w:val="00902DB9"/>
    <w:rsid w:val="00903670"/>
    <w:rsid w:val="0090466A"/>
    <w:rsid w:val="00912C96"/>
    <w:rsid w:val="0092143D"/>
    <w:rsid w:val="00923655"/>
    <w:rsid w:val="00936071"/>
    <w:rsid w:val="009376CD"/>
    <w:rsid w:val="00940212"/>
    <w:rsid w:val="00942EC2"/>
    <w:rsid w:val="00961B32"/>
    <w:rsid w:val="00962509"/>
    <w:rsid w:val="00970DB3"/>
    <w:rsid w:val="00974BB0"/>
    <w:rsid w:val="00975BCD"/>
    <w:rsid w:val="009859FE"/>
    <w:rsid w:val="009A0AF3"/>
    <w:rsid w:val="009B07CD"/>
    <w:rsid w:val="009C19E9"/>
    <w:rsid w:val="009C2331"/>
    <w:rsid w:val="009D74A6"/>
    <w:rsid w:val="00A04ED4"/>
    <w:rsid w:val="00A10024"/>
    <w:rsid w:val="00A10F02"/>
    <w:rsid w:val="00A12ED3"/>
    <w:rsid w:val="00A204CA"/>
    <w:rsid w:val="00A209D6"/>
    <w:rsid w:val="00A23486"/>
    <w:rsid w:val="00A339DB"/>
    <w:rsid w:val="00A53724"/>
    <w:rsid w:val="00A54B2B"/>
    <w:rsid w:val="00A733FF"/>
    <w:rsid w:val="00A82346"/>
    <w:rsid w:val="00A9671C"/>
    <w:rsid w:val="00AA1553"/>
    <w:rsid w:val="00AB58A8"/>
    <w:rsid w:val="00AC1D56"/>
    <w:rsid w:val="00AC49D0"/>
    <w:rsid w:val="00B05380"/>
    <w:rsid w:val="00B05962"/>
    <w:rsid w:val="00B15449"/>
    <w:rsid w:val="00B16C2F"/>
    <w:rsid w:val="00B25910"/>
    <w:rsid w:val="00B27303"/>
    <w:rsid w:val="00B30804"/>
    <w:rsid w:val="00B47FD1"/>
    <w:rsid w:val="00B516BB"/>
    <w:rsid w:val="00B6030B"/>
    <w:rsid w:val="00B60AAE"/>
    <w:rsid w:val="00B63AFB"/>
    <w:rsid w:val="00B84CC0"/>
    <w:rsid w:val="00B84DB2"/>
    <w:rsid w:val="00B96547"/>
    <w:rsid w:val="00BA6F9C"/>
    <w:rsid w:val="00BC3555"/>
    <w:rsid w:val="00BE304A"/>
    <w:rsid w:val="00BF08A9"/>
    <w:rsid w:val="00C12B51"/>
    <w:rsid w:val="00C240CA"/>
    <w:rsid w:val="00C24650"/>
    <w:rsid w:val="00C25465"/>
    <w:rsid w:val="00C25D7E"/>
    <w:rsid w:val="00C33079"/>
    <w:rsid w:val="00C83A13"/>
    <w:rsid w:val="00C9068C"/>
    <w:rsid w:val="00C91910"/>
    <w:rsid w:val="00C92967"/>
    <w:rsid w:val="00CA3D0C"/>
    <w:rsid w:val="00CA654B"/>
    <w:rsid w:val="00CB28BD"/>
    <w:rsid w:val="00CB36FA"/>
    <w:rsid w:val="00CB72B8"/>
    <w:rsid w:val="00CC22FD"/>
    <w:rsid w:val="00CD4C7B"/>
    <w:rsid w:val="00CD58FE"/>
    <w:rsid w:val="00CE2474"/>
    <w:rsid w:val="00D05555"/>
    <w:rsid w:val="00D16042"/>
    <w:rsid w:val="00D33BE3"/>
    <w:rsid w:val="00D3792D"/>
    <w:rsid w:val="00D4003F"/>
    <w:rsid w:val="00D55E47"/>
    <w:rsid w:val="00D62E19"/>
    <w:rsid w:val="00D67CD1"/>
    <w:rsid w:val="00D738D6"/>
    <w:rsid w:val="00D805D3"/>
    <w:rsid w:val="00D80795"/>
    <w:rsid w:val="00D854BE"/>
    <w:rsid w:val="00D87E00"/>
    <w:rsid w:val="00D9134D"/>
    <w:rsid w:val="00D96D11"/>
    <w:rsid w:val="00DA7A03"/>
    <w:rsid w:val="00DB0DB8"/>
    <w:rsid w:val="00DB1818"/>
    <w:rsid w:val="00DC309B"/>
    <w:rsid w:val="00DC4DA2"/>
    <w:rsid w:val="00DC5261"/>
    <w:rsid w:val="00DE25D2"/>
    <w:rsid w:val="00E30290"/>
    <w:rsid w:val="00E46C08"/>
    <w:rsid w:val="00E471CF"/>
    <w:rsid w:val="00E62835"/>
    <w:rsid w:val="00E77645"/>
    <w:rsid w:val="00E83697"/>
    <w:rsid w:val="00EA66C9"/>
    <w:rsid w:val="00EB6A89"/>
    <w:rsid w:val="00EB7F69"/>
    <w:rsid w:val="00EC4A25"/>
    <w:rsid w:val="00EC4A3D"/>
    <w:rsid w:val="00ED59AA"/>
    <w:rsid w:val="00EE54AF"/>
    <w:rsid w:val="00F025A2"/>
    <w:rsid w:val="00F036E9"/>
    <w:rsid w:val="00F0610A"/>
    <w:rsid w:val="00F07388"/>
    <w:rsid w:val="00F2026E"/>
    <w:rsid w:val="00F2210A"/>
    <w:rsid w:val="00F3750E"/>
    <w:rsid w:val="00F37743"/>
    <w:rsid w:val="00F54A3D"/>
    <w:rsid w:val="00F54CB0"/>
    <w:rsid w:val="00F55FC2"/>
    <w:rsid w:val="00F579CD"/>
    <w:rsid w:val="00F62E3B"/>
    <w:rsid w:val="00F653B8"/>
    <w:rsid w:val="00F67316"/>
    <w:rsid w:val="00F71B89"/>
    <w:rsid w:val="00F7353C"/>
    <w:rsid w:val="00F76F8F"/>
    <w:rsid w:val="00F77E66"/>
    <w:rsid w:val="00F77F74"/>
    <w:rsid w:val="00F87251"/>
    <w:rsid w:val="00F941DF"/>
    <w:rsid w:val="00FA1266"/>
    <w:rsid w:val="00FB36FA"/>
    <w:rsid w:val="00FC1192"/>
    <w:rsid w:val="00FD2CF3"/>
    <w:rsid w:val="00FE251B"/>
    <w:rsid w:val="00FF313D"/>
    <w:rsid w:val="00FF5008"/>
    <w:rsid w:val="2A0F1728"/>
    <w:rsid w:val="3CE7D40C"/>
    <w:rsid w:val="5AA1CF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8FC514D-429C-4538-A7EB-71C5A5F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Char">
    <w:name w:val="NO Char"/>
    <w:link w:val="NO"/>
    <w:qFormat/>
    <w:rsid w:val="00BE304A"/>
    <w:rPr>
      <w:lang w:eastAsia="en-US"/>
    </w:rPr>
  </w:style>
  <w:style w:type="character" w:customStyle="1" w:styleId="THChar">
    <w:name w:val="TH Char"/>
    <w:link w:val="TH"/>
    <w:qFormat/>
    <w:rsid w:val="00BE304A"/>
    <w:rPr>
      <w:rFonts w:ascii="Arial" w:hAnsi="Arial"/>
      <w:b/>
      <w:lang w:eastAsia="en-US"/>
    </w:rPr>
  </w:style>
  <w:style w:type="character" w:customStyle="1" w:styleId="TFChar">
    <w:name w:val="TF Char"/>
    <w:link w:val="TF"/>
    <w:rsid w:val="00BE304A"/>
    <w:rPr>
      <w:rFonts w:ascii="Arial" w:hAnsi="Arial"/>
      <w:b/>
      <w:lang w:eastAsia="en-US"/>
    </w:rPr>
  </w:style>
  <w:style w:type="paragraph" w:styleId="ListParagraph">
    <w:name w:val="List Paragraph"/>
    <w:basedOn w:val="Normal"/>
    <w:uiPriority w:val="34"/>
    <w:qFormat/>
    <w:rsid w:val="000511A2"/>
    <w:pPr>
      <w:ind w:left="720"/>
      <w:contextualSpacing/>
    </w:pPr>
  </w:style>
  <w:style w:type="character" w:styleId="CommentReference">
    <w:name w:val="annotation reference"/>
    <w:basedOn w:val="DefaultParagraphFont"/>
    <w:rsid w:val="00EE54AF"/>
    <w:rPr>
      <w:sz w:val="16"/>
      <w:szCs w:val="16"/>
    </w:rPr>
  </w:style>
  <w:style w:type="paragraph" w:styleId="CommentText">
    <w:name w:val="annotation text"/>
    <w:basedOn w:val="Normal"/>
    <w:link w:val="CommentTextChar"/>
    <w:rsid w:val="00EE54AF"/>
  </w:style>
  <w:style w:type="character" w:customStyle="1" w:styleId="CommentTextChar">
    <w:name w:val="Comment Text Char"/>
    <w:basedOn w:val="DefaultParagraphFont"/>
    <w:link w:val="CommentText"/>
    <w:rsid w:val="00EE54AF"/>
    <w:rPr>
      <w:lang w:eastAsia="en-US"/>
    </w:rPr>
  </w:style>
  <w:style w:type="paragraph" w:styleId="CommentSubject">
    <w:name w:val="annotation subject"/>
    <w:basedOn w:val="CommentText"/>
    <w:next w:val="CommentText"/>
    <w:link w:val="CommentSubjectChar"/>
    <w:rsid w:val="00EE54AF"/>
    <w:rPr>
      <w:b/>
      <w:bCs/>
    </w:rPr>
  </w:style>
  <w:style w:type="character" w:customStyle="1" w:styleId="CommentSubjectChar">
    <w:name w:val="Comment Subject Char"/>
    <w:basedOn w:val="CommentTextChar"/>
    <w:link w:val="CommentSubject"/>
    <w:rsid w:val="00EE54AF"/>
    <w:rPr>
      <w:b/>
      <w:bCs/>
      <w:lang w:eastAsia="en-US"/>
    </w:rPr>
  </w:style>
  <w:style w:type="table" w:styleId="TableGrid">
    <w:name w:val="Table Grid"/>
    <w:basedOn w:val="TableNormal"/>
    <w:uiPriority w:val="59"/>
    <w:rsid w:val="004B6E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70460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5AIRPNAIUNRU-859666464-6124</_dlc_DocId>
    <_dlc_DocIdUrl xmlns="71c5aaf6-e6ce-465b-b873-5148d2a4c105">
      <Url>https://nokia.sharepoint.com/sites/c5g/e2earch/_layouts/15/DocIdRedir.aspx?ID=5AIRPNAIUNRU-859666464-6124</Url>
      <Description>5AIRPNAIUNRU-859666464-6124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71c5aaf6-e6ce-465b-b873-5148d2a4c105"/>
    <ds:schemaRef ds:uri="a3840f4f-04be-43d1-b2ef-6ff1382503c7"/>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7776EBF-90CE-4E12-8E62-18AECB00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E0A132-D5CF-46B6-B33E-CAEAC0773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2</Pages>
  <Words>768</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keywords/>
  <dc:description/>
  <cp:lastModifiedBy>Nokia</cp:lastModifiedBy>
  <cp:revision>9</cp:revision>
  <dcterms:created xsi:type="dcterms:W3CDTF">2020-02-12T12:20:00Z</dcterms:created>
  <dcterms:modified xsi:type="dcterms:W3CDTF">2020-02-13T16:27:00Z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c9a6fc8b-6cb5-43a2-9899-4cb0bb23af2d</vt:lpwstr>
  </property>
</Properties>
</file>